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质量保证协议（修订建议版）</w:t>
      </w:r>
    </w:p>
    <w:p/>
    <w:p>
      <w:pPr>
        <w:jc w:val="center"/>
      </w:pPr>
      <w:r>
        <w:rPr>
          <w:sz w:val="22"/>
        </w:rPr>
        <w:t>MMR—101_07  Quality Guarantee Agreement</w:t>
        <w:br/>
        <w:t>甲方：广州万孚生物技术股份有限公司</w:t>
        <w:br/>
        <w:t>乙方：宝锐生物技术有限公司</w:t>
      </w:r>
    </w:p>
    <w:p/>
    <w:p>
      <w:r>
        <w:rPr>
          <w:b/>
          <w:sz w:val="20"/>
        </w:rPr>
        <w:t>图例说明：</w:t>
      </w:r>
    </w:p>
    <w:p>
      <w:r>
        <w:rPr>
          <w:color w:val="666666"/>
        </w:rPr>
        <w:t xml:space="preserve">　原文　</w:t>
      </w:r>
      <w:r>
        <w:t>→ 万孚原版条款（供参考比对）</w:t>
        <w:br/>
      </w:r>
      <w:r>
        <w:rPr>
          <w:b/>
          <w:color w:val="0066CC"/>
        </w:rPr>
        <w:t xml:space="preserve">　修改文　</w:t>
      </w:r>
      <w:r>
        <w:t>→ 宝锐建议修改版本</w:t>
        <w:br/>
      </w:r>
      <w:r>
        <w:rPr>
          <w:i/>
          <w:color w:val="993300"/>
          <w:sz w:val="18"/>
        </w:rPr>
        <w:t xml:space="preserve">　【修订说明】　</w:t>
      </w:r>
      <w:r>
        <w:t>→ 修改理由与法律依据</w:t>
      </w:r>
    </w:p>
    <w:p>
      <w:r>
        <w:t>────────────────────────────────────────────────────────────</w:t>
      </w:r>
    </w:p>
    <w:p>
      <w:r>
        <w:t>────────────────────────────────────────────────────────────</w:t>
      </w:r>
    </w:p>
    <w:p>
      <w:r>
        <w:rPr>
          <w:b/>
          <w:color w:val="CC0000"/>
          <w:sz w:val="26"/>
        </w:rPr>
        <w:t>一、高风险条款（P0 — 必须修改）</w:t>
      </w:r>
    </w:p>
    <w:p/>
    <w:p>
      <w:r>
        <w:rPr>
          <w:b/>
          <w:sz w:val="24"/>
        </w:rPr>
        <w:t>1.  第五条 5.8 — 变更通知期限</w:t>
      </w:r>
      <w:r>
        <w:rPr>
          <w:b/>
          <w:color w:val="CC0000"/>
          <w:sz w:val="20"/>
        </w:rPr>
        <w:t xml:space="preserve">  [P0]</w:t>
      </w:r>
    </w:p>
    <w:p>
      <w:r>
        <w:rPr>
          <w:b/>
          <w:sz w:val="20"/>
        </w:rPr>
        <w:t>【原文】</w:t>
      </w:r>
      <w:r>
        <w:rPr>
          <w:color w:val="666666"/>
          <w:sz w:val="20"/>
        </w:rPr>
        <w:br/>
        <w:t>乙方需提前6个月以上通知甲方，并提供变更报备函和变更后的样品给甲方测试，经甲方测试合格并书面同意乙方变更后，乙方方可交货，必要时甲方会进行现场审核。</w:t>
      </w:r>
    </w:p>
    <w:p>
      <w:r>
        <w:rPr>
          <w:b/>
          <w:color w:val="0066CC"/>
          <w:sz w:val="20"/>
        </w:rPr>
        <w:t>【修改文】</w:t>
      </w:r>
      <w:r>
        <w:rPr>
          <w:color w:val="0066CC"/>
          <w:sz w:val="20"/>
        </w:rPr>
        <w:br/>
        <w:t>乙方应将以下变更提前书面通知甲方：</w:t>
        <w:br/>
        <w:t>（1）A类变更（材料规格、工艺、生产场地、模具等影响产品性能的变更）：至少提前90日书面通知，并提供变更报备函和变更后的样品供甲方测试；</w:t>
        <w:br/>
        <w:t>（2）B类变更（设备导入/改造、关键岗位人员变更等）：至少提前30日书面通知。</w:t>
        <w:br/>
        <w:t>经甲方书面同意后，乙方方可交货。如遇上游突发停产、不可抗力等紧急情况，乙方应在知悉后3个工作日内通知甲方，双方协商过渡方案。</w:t>
      </w:r>
    </w:p>
    <w:p>
      <w:r>
        <w:rPr>
          <w:i/>
          <w:color w:val="993300"/>
          <w:sz w:val="18"/>
        </w:rPr>
        <w:t>【修订说明】原条款6个月通知期在实践中不具备可操作性。生物原料行业上游供应商（抗原抗体、酶等）可能因原材料断供等原因随时停产，宝锐无法在6个月前预知。关键岗位人员离职通常仅1个月通知期，猝然离职更短。参考行业惯例，建议按变更类型分级管理：影响产品性能的A类90天、一般变更30天，并增加不可抗力的紧急通知机制。</w:t>
      </w:r>
    </w:p>
    <w:p/>
    <w:p>
      <w:r>
        <w:rPr>
          <w:b/>
          <w:sz w:val="24"/>
        </w:rPr>
        <w:t>2.  第六条 6.9 — 以全部货款作为抵押</w:t>
      </w:r>
      <w:r>
        <w:rPr>
          <w:b/>
          <w:color w:val="CC0000"/>
          <w:sz w:val="20"/>
        </w:rPr>
        <w:t xml:space="preserve">  [P0]</w:t>
      </w:r>
    </w:p>
    <w:p>
      <w:r>
        <w:rPr>
          <w:b/>
          <w:sz w:val="20"/>
        </w:rPr>
        <w:t>【原文】</w:t>
      </w:r>
      <w:r>
        <w:rPr>
          <w:color w:val="666666"/>
          <w:sz w:val="20"/>
        </w:rPr>
        <w:br/>
        <w:t>以上损失在双方未协商好或未经司法机关裁定前，以乙方所有货款暂时作为抵押，甲乙双方将按最后处理结果予以相关责任履行。</w:t>
      </w:r>
    </w:p>
    <w:p>
      <w:r>
        <w:rPr>
          <w:b/>
          <w:color w:val="0066CC"/>
          <w:sz w:val="20"/>
        </w:rPr>
        <w:t>【修改文】</w:t>
      </w:r>
      <w:r>
        <w:rPr>
          <w:color w:val="0066CC"/>
          <w:sz w:val="20"/>
        </w:rPr>
        <w:br/>
        <w:t>如双方对损失赔偿存在争议，在协商期间，甲方有权暂扣争议批次对应货款，但不得影响其他无争议批次货款的正常结算。双方应通过友好协商解决争议，协商不成的按第八条争议解决方式处理。</w:t>
      </w:r>
    </w:p>
    <w:p>
      <w:r>
        <w:rPr>
          <w:i/>
          <w:color w:val="993300"/>
          <w:sz w:val="18"/>
        </w:rPr>
        <w:t>【修订说明】原条款允许甲方因单一质量纠纷扣押宝锐全部应收账款，严重影响现金流。万孚是大型客户，多批货款可能同时被扣。修改后限定为仅争议批次，保护宝锐正常经营。</w:t>
      </w:r>
    </w:p>
    <w:p/>
    <w:p>
      <w:r>
        <w:rPr>
          <w:b/>
          <w:sz w:val="24"/>
        </w:rPr>
        <w:t>3.  第六条 6.2 — 甲方单方判定权</w:t>
      </w:r>
      <w:r>
        <w:rPr>
          <w:b/>
          <w:color w:val="CC0000"/>
          <w:sz w:val="20"/>
        </w:rPr>
        <w:t xml:space="preserve">  [P0]</w:t>
      </w:r>
    </w:p>
    <w:p>
      <w:r>
        <w:rPr>
          <w:b/>
          <w:sz w:val="20"/>
        </w:rPr>
        <w:t>【原文】</w:t>
      </w:r>
      <w:r>
        <w:rPr>
          <w:color w:val="666666"/>
          <w:sz w:val="20"/>
        </w:rPr>
        <w:br/>
        <w:t>到料检验结果与采购合同和生物材料质量标准中的标准不一致的，以甲方的判定结果为准。</w:t>
      </w:r>
    </w:p>
    <w:p>
      <w:r>
        <w:rPr>
          <w:b/>
          <w:color w:val="0066CC"/>
          <w:sz w:val="20"/>
        </w:rPr>
        <w:t>【修改文】</w:t>
      </w:r>
      <w:r>
        <w:rPr>
          <w:color w:val="0066CC"/>
          <w:sz w:val="20"/>
        </w:rPr>
        <w:br/>
        <w:t>到料检验结果与双方确认的质量标准不一致的，甲方应及时书面通知乙方。乙方有权在收到通知后7个工作日内提出异议并要求共同复检。复检可委托双方认可的第三方检测机构进行，检测费用由过错方承担。如双方仍有争议，按第八条争议解决方式处理。</w:t>
      </w:r>
    </w:p>
    <w:p>
      <w:r>
        <w:rPr>
          <w:i/>
          <w:color w:val="993300"/>
          <w:sz w:val="18"/>
        </w:rPr>
        <w:t>【修订说明】原条款赋予甲方单方面不合格判定权，乙方无任何异议或复核机制。甲方检验设备偏差、操作失误或标准变更未通知，宝锐均无救济途径。增加第三方复检机制保障公平性。</w:t>
      </w:r>
    </w:p>
    <w:p/>
    <w:p>
      <w:r>
        <w:rPr>
          <w:b/>
          <w:sz w:val="24"/>
        </w:rPr>
        <w:t>4.  第八条 — 争议管辖</w:t>
      </w:r>
      <w:r>
        <w:rPr>
          <w:b/>
          <w:color w:val="CC0000"/>
          <w:sz w:val="20"/>
        </w:rPr>
        <w:t xml:space="preserve">  [P0]</w:t>
      </w:r>
    </w:p>
    <w:p>
      <w:r>
        <w:rPr>
          <w:b/>
          <w:sz w:val="20"/>
        </w:rPr>
        <w:t>【原文】</w:t>
      </w:r>
      <w:r>
        <w:rPr>
          <w:color w:val="666666"/>
          <w:sz w:val="20"/>
        </w:rPr>
        <w:br/>
        <w:t>双方在履行本协议过程中如发生争议，应友好协商解决。若协商未成，任何一方均可向甲方所在地有管辖权的人民法院提起诉讼。</w:t>
      </w:r>
    </w:p>
    <w:p>
      <w:r>
        <w:rPr>
          <w:b/>
          <w:color w:val="0066CC"/>
          <w:sz w:val="20"/>
        </w:rPr>
        <w:t>【修改文】</w:t>
      </w:r>
      <w:r>
        <w:rPr>
          <w:color w:val="0066CC"/>
          <w:sz w:val="20"/>
        </w:rPr>
        <w:br/>
        <w:t>双方在履行本协议过程中如发生争议，应友好协商解决。若协商未成，任何一方均可向被告所在地有管辖权的人民法院提起诉讼。</w:t>
      </w:r>
    </w:p>
    <w:p>
      <w:r>
        <w:rPr>
          <w:i/>
          <w:color w:val="993300"/>
          <w:sz w:val="18"/>
        </w:rPr>
        <w:t>【修订说明】甲方（万孚）在广州黄埔区，宝锐在珠海。原条款要求所有争议在广州诉讼，宝锐需承担异地诉讼的高昂成本。修改为"被告所在地"，对双方公平，是《民事诉讼法》的默认管辖原则。</w:t>
      </w:r>
    </w:p>
    <w:p/>
    <w:p>
      <w:r>
        <w:t>────────────────────────────────────────────────────────────</w:t>
      </w:r>
    </w:p>
    <w:p>
      <w:r>
        <w:rPr>
          <w:b/>
          <w:color w:val="CC8800"/>
          <w:sz w:val="26"/>
        </w:rPr>
        <w:t>二、中风险条款（P1 — 强烈建议修改）</w:t>
      </w:r>
    </w:p>
    <w:p/>
    <w:p>
      <w:r>
        <w:rPr>
          <w:b/>
          <w:sz w:val="24"/>
        </w:rPr>
        <w:t>5.  第四条 4.4 — 延迟交货惩罚</w:t>
      </w:r>
      <w:r>
        <w:rPr>
          <w:b/>
          <w:color w:val="CC8800"/>
          <w:sz w:val="20"/>
        </w:rPr>
        <w:t xml:space="preserve">  [P1]</w:t>
      </w:r>
    </w:p>
    <w:p>
      <w:r>
        <w:rPr>
          <w:b/>
          <w:sz w:val="20"/>
        </w:rPr>
        <w:t>【原文】</w:t>
      </w:r>
      <w:r>
        <w:rPr>
          <w:color w:val="666666"/>
          <w:sz w:val="20"/>
        </w:rPr>
        <w:br/>
        <w:t>从交货之日起，必须按照双方协定日期交货。从协定交货之日起，每延迟一天，甲方有权根据情况对乙方进行相应惩罚，以维护对甲方的承诺。</w:t>
      </w:r>
    </w:p>
    <w:p>
      <w:r>
        <w:rPr>
          <w:b/>
          <w:color w:val="0066CC"/>
          <w:sz w:val="20"/>
        </w:rPr>
        <w:t>【修改文】</w:t>
      </w:r>
      <w:r>
        <w:rPr>
          <w:color w:val="0066CC"/>
          <w:sz w:val="20"/>
        </w:rPr>
        <w:br/>
        <w:t>从协定交货之日起，如因乙方原因每延迟一天，乙方应按该批次货款金额的0.5‰支付违约金，但违约金总额不超过该批次货款金额的5%。因不可抗力、甲方原因或承运方原因导致的延迟除外。</w:t>
      </w:r>
    </w:p>
    <w:p>
      <w:r>
        <w:rPr>
          <w:i/>
          <w:color w:val="993300"/>
          <w:sz w:val="18"/>
        </w:rPr>
        <w:t>【修订说明】"惩罚"无标准或上限，甲方有完全自由裁量权。建议明确违约金比例和上限，同时排除非乙方原因导致的延迟，符合公平原则。</w:t>
      </w:r>
    </w:p>
    <w:p/>
    <w:p>
      <w:r>
        <w:rPr>
          <w:b/>
          <w:sz w:val="24"/>
        </w:rPr>
        <w:t>6.  第五条 5.2 — "故意隐瞒"认定标准</w:t>
      </w:r>
      <w:r>
        <w:rPr>
          <w:b/>
          <w:color w:val="CC8800"/>
          <w:sz w:val="20"/>
        </w:rPr>
        <w:t xml:space="preserve">  [P1]</w:t>
      </w:r>
    </w:p>
    <w:p>
      <w:r>
        <w:rPr>
          <w:b/>
          <w:sz w:val="20"/>
        </w:rPr>
        <w:t>【原文】</w:t>
      </w:r>
      <w:r>
        <w:rPr>
          <w:color w:val="666666"/>
          <w:sz w:val="20"/>
        </w:rPr>
        <w:br/>
        <w:t>如非乙方自产产品，应在甲方首次采购时告知原产地/原厂家信息。如因乙方故意隐瞒造成甲方的一切损失，应由乙方承担。</w:t>
      </w:r>
    </w:p>
    <w:p>
      <w:r>
        <w:rPr>
          <w:b/>
          <w:color w:val="0066CC"/>
          <w:sz w:val="20"/>
        </w:rPr>
        <w:t>【修改文】</w:t>
      </w:r>
      <w:r>
        <w:rPr>
          <w:color w:val="0066CC"/>
          <w:sz w:val="20"/>
        </w:rPr>
        <w:br/>
        <w:t>如非乙方自产产品，应在甲方首次采购时书面告知原产地/原厂家信息。如因乙方未履行前述告知义务且因此直接导致甲方损失的，乙方应承担相应赔偿责任。</w:t>
      </w:r>
    </w:p>
    <w:p>
      <w:r>
        <w:rPr>
          <w:i/>
          <w:color w:val="993300"/>
          <w:sz w:val="18"/>
        </w:rPr>
        <w:t>【修订说明】"故意隐瞒"是主观状态，实践中难以界定。甲方可能将未及时告知等同于故意隐瞒。改为客观标准"未履行告知义务"，并限定为直接损失，避免过度归责。</w:t>
      </w:r>
    </w:p>
    <w:p/>
    <w:p>
      <w:r>
        <w:rPr>
          <w:b/>
          <w:sz w:val="24"/>
        </w:rPr>
        <w:t>7.  第六条 6.3 — 损失范围无边界</w:t>
      </w:r>
      <w:r>
        <w:rPr>
          <w:b/>
          <w:color w:val="CC8800"/>
          <w:sz w:val="20"/>
        </w:rPr>
        <w:t xml:space="preserve">  [P1]</w:t>
      </w:r>
    </w:p>
    <w:p>
      <w:r>
        <w:rPr>
          <w:b/>
          <w:sz w:val="20"/>
        </w:rPr>
        <w:t>【原文】</w:t>
      </w:r>
      <w:r>
        <w:rPr>
          <w:color w:val="666666"/>
          <w:sz w:val="20"/>
        </w:rPr>
        <w:br/>
        <w:t>乙方交货产品在甲方检验、制程或售后过程中出现异常，乙方必须承担由此造成的一切损失。</w:t>
      </w:r>
    </w:p>
    <w:p>
      <w:r>
        <w:rPr>
          <w:b/>
          <w:color w:val="0066CC"/>
          <w:sz w:val="20"/>
        </w:rPr>
        <w:t>【修改文】</w:t>
      </w:r>
      <w:r>
        <w:rPr>
          <w:color w:val="0066CC"/>
          <w:sz w:val="20"/>
        </w:rPr>
        <w:br/>
        <w:t>乙方交货产品经双方确认存在质量问题的，乙方应承担由此造成的直接损失，赔偿金额以该问题批次货款金额的三倍为上限。但因乙方故意或重大过失造成的损失除外。</w:t>
      </w:r>
    </w:p>
    <w:p>
      <w:r>
        <w:rPr>
          <w:i/>
          <w:color w:val="993300"/>
          <w:sz w:val="18"/>
        </w:rPr>
        <w:t>【修订说明】"一切损失"可被解释为包括间接损失、预期利润损失、商誉损失等，金额可能远超货款。建议限定为直接损失并设赔偿上限，符合《民法典》第五百八十四条可预见规则。</w:t>
      </w:r>
    </w:p>
    <w:p/>
    <w:p>
      <w:r>
        <w:rPr>
          <w:b/>
          <w:sz w:val="24"/>
        </w:rPr>
        <w:t>8.  第六条 6.13 — 人身伤害无限责任</w:t>
      </w:r>
      <w:r>
        <w:rPr>
          <w:b/>
          <w:color w:val="CC8800"/>
          <w:sz w:val="20"/>
        </w:rPr>
        <w:t xml:space="preserve">  [P1]</w:t>
      </w:r>
    </w:p>
    <w:p>
      <w:r>
        <w:rPr>
          <w:b/>
          <w:sz w:val="20"/>
        </w:rPr>
        <w:t>【原文】</w:t>
      </w:r>
      <w:r>
        <w:rPr>
          <w:color w:val="666666"/>
          <w:sz w:val="20"/>
        </w:rPr>
        <w:br/>
        <w:t>来料检验中及用户使用中，由于乙方产品技术、质量等原因造成人身伤害或财产损失时，事故责任由乙方全部承担。</w:t>
      </w:r>
    </w:p>
    <w:p>
      <w:r>
        <w:rPr>
          <w:b/>
          <w:color w:val="0066CC"/>
          <w:sz w:val="20"/>
        </w:rPr>
        <w:t>【修改文】</w:t>
      </w:r>
      <w:r>
        <w:rPr>
          <w:color w:val="0066CC"/>
          <w:sz w:val="20"/>
        </w:rPr>
        <w:br/>
        <w:t>因乙方产品本身质量缺陷直接导致人身伤害或财产损失的，经双方共同调查确认或司法鉴定后，由乙方承担相应赔偿责任。如事故由多方原因共同造成，按责任比例分担。</w:t>
      </w:r>
    </w:p>
    <w:p>
      <w:r>
        <w:rPr>
          <w:i/>
          <w:color w:val="993300"/>
          <w:sz w:val="18"/>
        </w:rPr>
        <w:t>【修订说明】原条款未区分责任比例。如果事故是甲方使用不当、存储不当或与其他材料混合使用造成的，按原条款乙方仍可能承担全部责任。建议增加因果关系认定和责任比例分担机制。</w:t>
      </w:r>
    </w:p>
    <w:p/>
    <w:p>
      <w:r>
        <w:rPr>
          <w:b/>
          <w:sz w:val="24"/>
        </w:rPr>
        <w:t>9.  第九条 9.2 — 协议期限</w:t>
      </w:r>
      <w:r>
        <w:rPr>
          <w:b/>
          <w:color w:val="CC8800"/>
          <w:sz w:val="20"/>
        </w:rPr>
        <w:t xml:space="preserve">  [P1]</w:t>
      </w:r>
    </w:p>
    <w:p>
      <w:r>
        <w:rPr>
          <w:b/>
          <w:sz w:val="20"/>
        </w:rPr>
        <w:t>【原文】</w:t>
      </w:r>
      <w:r>
        <w:rPr>
          <w:color w:val="666666"/>
          <w:sz w:val="20"/>
        </w:rPr>
        <w:br/>
        <w:t>本协议自甲乙双方法定代表人或授权代表签字或加盖印章之日起生效，有效期至双方协商签订新协议或停止合作时止。</w:t>
      </w:r>
    </w:p>
    <w:p>
      <w:r>
        <w:rPr>
          <w:b/>
          <w:color w:val="0066CC"/>
          <w:sz w:val="20"/>
        </w:rPr>
        <w:t>【修改文】</w:t>
      </w:r>
      <w:r>
        <w:rPr>
          <w:color w:val="0066CC"/>
          <w:sz w:val="20"/>
        </w:rPr>
        <w:br/>
        <w:t>本协议有效期一年，自双方签署之日起计算。协议期满自动终止。如双方需继续合作，应在期满前另行协商签订新协议。</w:t>
      </w:r>
    </w:p>
    <w:p>
      <w:r>
        <w:rPr>
          <w:i/>
          <w:color w:val="993300"/>
          <w:sz w:val="18"/>
        </w:rPr>
        <w:t>【修订说明】原条款无固定期限，"至停止合作时止"对乙方不确定、不可控。改为一年固定期限，不自动续期，迫使双方定期审视协议条款，避免长期受不合理条款约束。</w:t>
      </w:r>
    </w:p>
    <w:p/>
    <w:p>
      <w:r>
        <w:rPr>
          <w:b/>
          <w:sz w:val="24"/>
        </w:rPr>
        <w:t>10.  第六条 6.10 — 挑选使用费用</w:t>
      </w:r>
      <w:r>
        <w:rPr>
          <w:b/>
          <w:color w:val="CC8800"/>
          <w:sz w:val="20"/>
        </w:rPr>
        <w:t xml:space="preserve">  [P1]</w:t>
      </w:r>
    </w:p>
    <w:p>
      <w:r>
        <w:rPr>
          <w:b/>
          <w:sz w:val="20"/>
        </w:rPr>
        <w:t>【原文】</w:t>
      </w:r>
      <w:r>
        <w:rPr>
          <w:color w:val="666666"/>
          <w:sz w:val="20"/>
        </w:rPr>
        <w:br/>
        <w:t>当来料出现质量问题，甲方需要挑选使用时，乙方应负担由此产生的一系列费用，相应费用按照甲方的损失成本进行计算。还有用电及检测用工装损耗费用、运输、场地及其它费用，所产生的费用将会提供联系函进行双方确认。</w:t>
      </w:r>
    </w:p>
    <w:p>
      <w:r>
        <w:rPr>
          <w:b/>
          <w:color w:val="0066CC"/>
          <w:sz w:val="20"/>
        </w:rPr>
        <w:t>【修改文】</w:t>
      </w:r>
      <w:r>
        <w:rPr>
          <w:color w:val="0066CC"/>
          <w:sz w:val="20"/>
        </w:rPr>
        <w:br/>
        <w:t>当来料出现质量问题，甲方需要挑选使用时，乙方应负担合理的挑选费用。费用标准由双方事先书面约定，或参照甲方正常工时费率计算。单批次挑选费用总额不超过该批次货款的30%。</w:t>
      </w:r>
    </w:p>
    <w:p>
      <w:r>
        <w:rPr>
          <w:i/>
          <w:color w:val="993300"/>
          <w:sz w:val="18"/>
        </w:rPr>
        <w:t>【修订说明】原条款"按照甲方的损失成本进行计算"无具体标准，费用由甲方单方确定。建议增加费用上限和事先约定的机制。</w:t>
      </w:r>
    </w:p>
    <w:p/>
    <w:p>
      <w:r>
        <w:br w:type="page"/>
      </w:r>
    </w:p>
    <w:p>
      <w:pPr>
        <w:jc w:val="center"/>
      </w:pPr>
      <w:r>
        <w:rPr>
          <w:b/>
          <w:sz w:val="28"/>
        </w:rPr>
        <w:t>修订汇总表</w:t>
      </w:r>
    </w:p>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tcPr>
          <w:p>
            <w:r>
              <w:rPr>
                <w:b/>
                <w:sz w:val="18"/>
              </w:rPr>
              <w:t>优先级</w:t>
            </w:r>
          </w:p>
        </w:tc>
        <w:tc>
          <w:tcPr>
            <w:tcW w:type="dxa" w:w="2351"/>
          </w:tcPr>
          <w:p>
            <w:r>
              <w:rPr>
                <w:b/>
                <w:sz w:val="18"/>
              </w:rPr>
              <w:t>条款</w:t>
            </w:r>
          </w:p>
        </w:tc>
        <w:tc>
          <w:tcPr>
            <w:tcW w:type="dxa" w:w="2351"/>
          </w:tcPr>
          <w:p>
            <w:r>
              <w:rPr>
                <w:b/>
                <w:sz w:val="18"/>
              </w:rPr>
              <w:t>修订类型</w:t>
            </w:r>
          </w:p>
        </w:tc>
        <w:tc>
          <w:tcPr>
            <w:tcW w:type="dxa" w:w="2351"/>
          </w:tcPr>
          <w:p>
            <w:r>
              <w:rPr>
                <w:b/>
                <w:sz w:val="18"/>
              </w:rPr>
              <w:t>核心变动</w:t>
            </w:r>
          </w:p>
        </w:tc>
      </w:tr>
      <w:tr>
        <w:tc>
          <w:tcPr>
            <w:tcW w:type="dxa" w:w="2351"/>
          </w:tcPr>
          <w:p>
            <w:r>
              <w:rPr>
                <w:b/>
                <w:color w:val="CC0000"/>
                <w:sz w:val="18"/>
              </w:rPr>
              <w:t>P0</w:t>
            </w:r>
          </w:p>
        </w:tc>
        <w:tc>
          <w:tcPr>
            <w:tcW w:type="dxa" w:w="2351"/>
          </w:tcPr>
          <w:p>
            <w:r>
              <w:rPr>
                <w:sz w:val="18"/>
              </w:rPr>
              <w:t>5.8 变更通知</w:t>
            </w:r>
          </w:p>
        </w:tc>
        <w:tc>
          <w:tcPr>
            <w:tcW w:type="dxa" w:w="2351"/>
          </w:tcPr>
          <w:p>
            <w:r>
              <w:rPr>
                <w:sz w:val="18"/>
              </w:rPr>
              <w:t>修改</w:t>
            </w:r>
          </w:p>
        </w:tc>
        <w:tc>
          <w:tcPr>
            <w:tcW w:type="dxa" w:w="2351"/>
          </w:tcPr>
          <w:p>
            <w:r>
              <w:rPr>
                <w:sz w:val="18"/>
              </w:rPr>
              <w:t>6个月→90天/30天分级，增加紧急通知</w:t>
            </w:r>
          </w:p>
        </w:tc>
      </w:tr>
      <w:tr>
        <w:tc>
          <w:tcPr>
            <w:tcW w:type="dxa" w:w="2351"/>
          </w:tcPr>
          <w:p>
            <w:r>
              <w:rPr>
                <w:b/>
                <w:color w:val="CC0000"/>
                <w:sz w:val="18"/>
              </w:rPr>
              <w:t>P0</w:t>
            </w:r>
          </w:p>
        </w:tc>
        <w:tc>
          <w:tcPr>
            <w:tcW w:type="dxa" w:w="2351"/>
          </w:tcPr>
          <w:p>
            <w:r>
              <w:rPr>
                <w:sz w:val="18"/>
              </w:rPr>
              <w:t>6.9 货款抵押</w:t>
            </w:r>
          </w:p>
        </w:tc>
        <w:tc>
          <w:tcPr>
            <w:tcW w:type="dxa" w:w="2351"/>
          </w:tcPr>
          <w:p>
            <w:r>
              <w:rPr>
                <w:sz w:val="18"/>
              </w:rPr>
              <w:t>修改</w:t>
            </w:r>
          </w:p>
        </w:tc>
        <w:tc>
          <w:tcPr>
            <w:tcW w:type="dxa" w:w="2351"/>
          </w:tcPr>
          <w:p>
            <w:r>
              <w:rPr>
                <w:sz w:val="18"/>
              </w:rPr>
              <w:t>全部货款→仅争议批次</w:t>
            </w:r>
          </w:p>
        </w:tc>
      </w:tr>
      <w:tr>
        <w:tc>
          <w:tcPr>
            <w:tcW w:type="dxa" w:w="2351"/>
          </w:tcPr>
          <w:p>
            <w:r>
              <w:rPr>
                <w:b/>
                <w:color w:val="CC0000"/>
                <w:sz w:val="18"/>
              </w:rPr>
              <w:t>P0</w:t>
            </w:r>
          </w:p>
        </w:tc>
        <w:tc>
          <w:tcPr>
            <w:tcW w:type="dxa" w:w="2351"/>
          </w:tcPr>
          <w:p>
            <w:r>
              <w:rPr>
                <w:sz w:val="18"/>
              </w:rPr>
              <w:t>6.2 单方判定</w:t>
            </w:r>
          </w:p>
        </w:tc>
        <w:tc>
          <w:tcPr>
            <w:tcW w:type="dxa" w:w="2351"/>
          </w:tcPr>
          <w:p>
            <w:r>
              <w:rPr>
                <w:sz w:val="18"/>
              </w:rPr>
              <w:t>新增</w:t>
            </w:r>
          </w:p>
        </w:tc>
        <w:tc>
          <w:tcPr>
            <w:tcW w:type="dxa" w:w="2351"/>
          </w:tcPr>
          <w:p>
            <w:r>
              <w:rPr>
                <w:sz w:val="18"/>
              </w:rPr>
              <w:t>增加第三方复检机制</w:t>
            </w:r>
          </w:p>
        </w:tc>
      </w:tr>
      <w:tr>
        <w:tc>
          <w:tcPr>
            <w:tcW w:type="dxa" w:w="2351"/>
          </w:tcPr>
          <w:p>
            <w:r>
              <w:rPr>
                <w:b/>
                <w:color w:val="CC0000"/>
                <w:sz w:val="18"/>
              </w:rPr>
              <w:t>P0</w:t>
            </w:r>
          </w:p>
        </w:tc>
        <w:tc>
          <w:tcPr>
            <w:tcW w:type="dxa" w:w="2351"/>
          </w:tcPr>
          <w:p>
            <w:r>
              <w:rPr>
                <w:sz w:val="18"/>
              </w:rPr>
              <w:t>8 争议管辖</w:t>
            </w:r>
          </w:p>
        </w:tc>
        <w:tc>
          <w:tcPr>
            <w:tcW w:type="dxa" w:w="2351"/>
          </w:tcPr>
          <w:p>
            <w:r>
              <w:rPr>
                <w:sz w:val="18"/>
              </w:rPr>
              <w:t>修改</w:t>
            </w:r>
          </w:p>
        </w:tc>
        <w:tc>
          <w:tcPr>
            <w:tcW w:type="dxa" w:w="2351"/>
          </w:tcPr>
          <w:p>
            <w:r>
              <w:rPr>
                <w:sz w:val="18"/>
              </w:rPr>
              <w:t>甲方所在地→被告所在地</w:t>
            </w:r>
          </w:p>
        </w:tc>
      </w:tr>
      <w:tr>
        <w:tc>
          <w:tcPr>
            <w:tcW w:type="dxa" w:w="2351"/>
          </w:tcPr>
          <w:p>
            <w:r>
              <w:rPr>
                <w:b/>
                <w:color w:val="CC8800"/>
                <w:sz w:val="18"/>
              </w:rPr>
              <w:t>P1</w:t>
            </w:r>
          </w:p>
        </w:tc>
        <w:tc>
          <w:tcPr>
            <w:tcW w:type="dxa" w:w="2351"/>
          </w:tcPr>
          <w:p>
            <w:r>
              <w:rPr>
                <w:sz w:val="18"/>
              </w:rPr>
              <w:t>4.4 延迟惩罚</w:t>
            </w:r>
          </w:p>
        </w:tc>
        <w:tc>
          <w:tcPr>
            <w:tcW w:type="dxa" w:w="2351"/>
          </w:tcPr>
          <w:p>
            <w:r>
              <w:rPr>
                <w:sz w:val="18"/>
              </w:rPr>
              <w:t>修改</w:t>
            </w:r>
          </w:p>
        </w:tc>
        <w:tc>
          <w:tcPr>
            <w:tcW w:type="dxa" w:w="2351"/>
          </w:tcPr>
          <w:p>
            <w:r>
              <w:rPr>
                <w:sz w:val="18"/>
              </w:rPr>
              <w:t>增加违约金比例(0.5‰/天)和上限(5%)</w:t>
            </w:r>
          </w:p>
        </w:tc>
      </w:tr>
      <w:tr>
        <w:tc>
          <w:tcPr>
            <w:tcW w:type="dxa" w:w="2351"/>
          </w:tcPr>
          <w:p>
            <w:r>
              <w:rPr>
                <w:b/>
                <w:color w:val="CC8800"/>
                <w:sz w:val="18"/>
              </w:rPr>
              <w:t>P1</w:t>
            </w:r>
          </w:p>
        </w:tc>
        <w:tc>
          <w:tcPr>
            <w:tcW w:type="dxa" w:w="2351"/>
          </w:tcPr>
          <w:p>
            <w:r>
              <w:rPr>
                <w:sz w:val="18"/>
              </w:rPr>
              <w:t>5.2 故意隐瞒</w:t>
            </w:r>
          </w:p>
        </w:tc>
        <w:tc>
          <w:tcPr>
            <w:tcW w:type="dxa" w:w="2351"/>
          </w:tcPr>
          <w:p>
            <w:r>
              <w:rPr>
                <w:sz w:val="18"/>
              </w:rPr>
              <w:t>修改</w:t>
            </w:r>
          </w:p>
        </w:tc>
        <w:tc>
          <w:tcPr>
            <w:tcW w:type="dxa" w:w="2351"/>
          </w:tcPr>
          <w:p>
            <w:r>
              <w:rPr>
                <w:sz w:val="18"/>
              </w:rPr>
              <w:t>主观标准→客观标准</w:t>
            </w:r>
          </w:p>
        </w:tc>
      </w:tr>
      <w:tr>
        <w:tc>
          <w:tcPr>
            <w:tcW w:type="dxa" w:w="2351"/>
          </w:tcPr>
          <w:p>
            <w:r>
              <w:rPr>
                <w:b/>
                <w:color w:val="CC8800"/>
                <w:sz w:val="18"/>
              </w:rPr>
              <w:t>P1</w:t>
            </w:r>
          </w:p>
        </w:tc>
        <w:tc>
          <w:tcPr>
            <w:tcW w:type="dxa" w:w="2351"/>
          </w:tcPr>
          <w:p>
            <w:r>
              <w:rPr>
                <w:sz w:val="18"/>
              </w:rPr>
              <w:t>6.3 一切损失</w:t>
            </w:r>
          </w:p>
        </w:tc>
        <w:tc>
          <w:tcPr>
            <w:tcW w:type="dxa" w:w="2351"/>
          </w:tcPr>
          <w:p>
            <w:r>
              <w:rPr>
                <w:sz w:val="18"/>
              </w:rPr>
              <w:t>修改</w:t>
            </w:r>
          </w:p>
        </w:tc>
        <w:tc>
          <w:tcPr>
            <w:tcW w:type="dxa" w:w="2351"/>
          </w:tcPr>
          <w:p>
            <w:r>
              <w:rPr>
                <w:sz w:val="18"/>
              </w:rPr>
              <w:t>限定直接损失+3倍货款上限</w:t>
            </w:r>
          </w:p>
        </w:tc>
      </w:tr>
      <w:tr>
        <w:tc>
          <w:tcPr>
            <w:tcW w:type="dxa" w:w="2351"/>
          </w:tcPr>
          <w:p>
            <w:r>
              <w:rPr>
                <w:b/>
                <w:color w:val="CC8800"/>
                <w:sz w:val="18"/>
              </w:rPr>
              <w:t>P1</w:t>
            </w:r>
          </w:p>
        </w:tc>
        <w:tc>
          <w:tcPr>
            <w:tcW w:type="dxa" w:w="2351"/>
          </w:tcPr>
          <w:p>
            <w:r>
              <w:rPr>
                <w:sz w:val="18"/>
              </w:rPr>
              <w:t>6.13 人身伤害</w:t>
            </w:r>
          </w:p>
        </w:tc>
        <w:tc>
          <w:tcPr>
            <w:tcW w:type="dxa" w:w="2351"/>
          </w:tcPr>
          <w:p>
            <w:r>
              <w:rPr>
                <w:sz w:val="18"/>
              </w:rPr>
              <w:t>修改</w:t>
            </w:r>
          </w:p>
        </w:tc>
        <w:tc>
          <w:tcPr>
            <w:tcW w:type="dxa" w:w="2351"/>
          </w:tcPr>
          <w:p>
            <w:r>
              <w:rPr>
                <w:sz w:val="18"/>
              </w:rPr>
              <w:t>无限责任→按责任比例分担</w:t>
            </w:r>
          </w:p>
        </w:tc>
      </w:tr>
      <w:tr>
        <w:tc>
          <w:tcPr>
            <w:tcW w:type="dxa" w:w="2351"/>
          </w:tcPr>
          <w:p>
            <w:r>
              <w:rPr>
                <w:b/>
                <w:color w:val="CC8800"/>
                <w:sz w:val="18"/>
              </w:rPr>
              <w:t>P1</w:t>
            </w:r>
          </w:p>
        </w:tc>
        <w:tc>
          <w:tcPr>
            <w:tcW w:type="dxa" w:w="2351"/>
          </w:tcPr>
          <w:p>
            <w:r>
              <w:rPr>
                <w:sz w:val="18"/>
              </w:rPr>
              <w:t>9.2 协议期限</w:t>
            </w:r>
          </w:p>
        </w:tc>
        <w:tc>
          <w:tcPr>
            <w:tcW w:type="dxa" w:w="2351"/>
          </w:tcPr>
          <w:p>
            <w:r>
              <w:rPr>
                <w:sz w:val="18"/>
              </w:rPr>
              <w:t>修改</w:t>
            </w:r>
          </w:p>
        </w:tc>
        <w:tc>
          <w:tcPr>
            <w:tcW w:type="dxa" w:w="2351"/>
          </w:tcPr>
          <w:p>
            <w:r>
              <w:rPr>
                <w:sz w:val="18"/>
              </w:rPr>
              <w:t>无固定期限→1年固定，不自动续期</w:t>
            </w:r>
          </w:p>
        </w:tc>
      </w:tr>
      <w:tr>
        <w:tc>
          <w:tcPr>
            <w:tcW w:type="dxa" w:w="2351"/>
          </w:tcPr>
          <w:p>
            <w:r>
              <w:rPr>
                <w:b/>
                <w:color w:val="CC8800"/>
                <w:sz w:val="18"/>
              </w:rPr>
              <w:t>P1</w:t>
            </w:r>
          </w:p>
        </w:tc>
        <w:tc>
          <w:tcPr>
            <w:tcW w:type="dxa" w:w="2351"/>
          </w:tcPr>
          <w:p>
            <w:r>
              <w:rPr>
                <w:sz w:val="18"/>
              </w:rPr>
              <w:t>6.10 挑选费用</w:t>
            </w:r>
          </w:p>
        </w:tc>
        <w:tc>
          <w:tcPr>
            <w:tcW w:type="dxa" w:w="2351"/>
          </w:tcPr>
          <w:p>
            <w:r>
              <w:rPr>
                <w:sz w:val="18"/>
              </w:rPr>
              <w:t>修改</w:t>
            </w:r>
          </w:p>
        </w:tc>
        <w:tc>
          <w:tcPr>
            <w:tcW w:type="dxa" w:w="2351"/>
          </w:tcPr>
          <w:p>
            <w:r>
              <w:rPr>
                <w:sz w:val="18"/>
              </w:rPr>
              <w:t>增加费用上限(货款30%)+事先约定</w:t>
            </w:r>
          </w:p>
        </w:tc>
      </w:tr>
    </w:tbl>
    <w:p/>
    <w:p>
      <w:r>
        <w:rPr>
          <w:color w:val="999999"/>
          <w:sz w:val="18"/>
        </w:rPr>
        <w:t>注：本修订建议基于宝锐生物作为乙方（供货方）的立场，以公平合理为原则，参考《中华人民共和国民法典》及相关行业惯例。具体条款以双方最终协商确认为准。</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