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冻干原理及问答-20260909</w:t>
      </w:r>
    </w:p>
    <w:p>
      <w:pPr>
        <w:pStyle w:val="componentStyle"/>
        <w:ind w:left="0.5cm" w:firstLine="0cm"/>
      </w:pPr>
    </w:p>
    <w:p>
      <w:pPr>
        <w:pStyle w:val="Heading1"/>
        <w:jc w:val="left"/>
      </w:pPr>
      <w:r>
        <w:t xml:space="preserve">冻干原理</w:t>
      </w:r>
    </w:p>
    <w:p>
      <w:pPr>
        <w:pStyle w:val="componentStyle"/>
        <w:ind w:left="0.5cm" w:firstLine="0cm"/>
      </w:pPr>
    </w:p>
    <w:p>
      <w:pPr>
        <w:pStyle w:val="Heading2"/>
        <w:jc w:val="left"/>
      </w:pPr>
      <w:r>
        <w:t xml:space="preserve">各步骤的主要作用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真空干燥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产品预冻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将溶液中的自由水冻结成固态</w:t>
      </w:r>
    </w:p>
    <w:p>
      <w:pPr>
        <w:pStyle w:val="componentStyle"/>
        <w:ind w:left="2.7199999999999998cm" w:firstLine="0cm"/>
      </w:pPr>
    </w:p>
    <w:p>
      <w:pPr>
        <w:pStyle w:val="Heading3"/>
        <w:jc w:val="left"/>
      </w:pPr>
      <w:r>
        <w:t xml:space="preserve">一次干燥去除自由水（纯的冰晶）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冰晶升华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去除了90-95%的水分</w:t>
      </w:r>
    </w:p>
    <w:p>
      <w:pPr>
        <w:pStyle w:val="componentStyle"/>
        <w:ind w:left="2.7199999999999998cm" w:firstLine="0cm"/>
      </w:pPr>
    </w:p>
    <w:p>
      <w:pPr>
        <w:pStyle w:val="Heading3"/>
        <w:jc w:val="left"/>
      </w:pPr>
      <w:r>
        <w:t xml:space="preserve">二次干燥去除吸附水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又叫解析干燥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去除吸附水，残留了0.5-3%的水份</w:t>
      </w:r>
    </w:p>
    <w:p>
      <w:pPr>
        <w:pStyle w:val="componentStyle"/>
        <w:ind w:left="2.7199999999999998cm" w:firstLine="0cm"/>
      </w:pPr>
    </w:p>
    <w:p>
      <w:pPr>
        <w:pStyle w:val="Heading3"/>
        <w:jc w:val="left"/>
      </w:pPr>
      <w:r>
        <w:t xml:space="preserve">保温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使冻干品的含水量保持均匀</w:t>
      </w:r>
    </w:p>
    <w:p>
      <w:pPr>
        <w:pStyle w:val="componentStyle"/>
        <w:ind w:left="2.7199999999999998cm" w:firstLine="0cm"/>
      </w:pPr>
    </w:p>
    <w:p>
      <w:pPr>
        <w:pStyle w:val="Heading2"/>
        <w:jc w:val="left"/>
      </w:pPr>
      <w:r>
        <w:t xml:space="preserve">名词解释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Eutectic temperature 共晶点温度（Te）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/>
    </w:p>
    <w:p>
      <w:pPr>
        <w:pStyle w:val="componentStyle"/>
        <w:ind w:left="2.7199999999999998cm" w:firstLine="0cm"/>
      </w:pPr>
    </w:p>
    <w:p>
      <w:pPr>
        <w:pStyle w:val="componentStyle"/>
        <w:ind w:left="2.71999999999999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t xml:space="preserve">Freeze-Drying 冷冻干燥
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• 也叫冻干，是一个干燥过程，湿的产品先被冷冻成固体，随后通过将其暴露在低的水分分压下，溶剂直接通过升华变为气相，整个过程不经过液相。
</w:t>
      </w:r>
    </w:p>
    <w:p>
      <w:pPr>
        <w:pStyle w:val="componentStyle"/>
        <w:ind w:left="2.7199999999999998cm" w:firstLine="0cm"/>
      </w:pPr>
    </w:p>
    <w:p>
      <w:pPr>
        <w:pStyle w:val="Heading3"/>
        <w:jc w:val="left"/>
      </w:pPr>
      <w:r>
        <w:t xml:space="preserve">WATER TRIPLE POINT 水的三相点
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/>
    </w:p>
    <w:p>
      <w:pPr>
        <w:pStyle w:val="componentStyle"/>
        <w:ind w:left="2.7199999999999998cm" w:firstLine="0cm"/>
      </w:pPr>
    </w:p>
    <w:p>
      <w:pPr>
        <w:pStyle w:val="componentStyle"/>
        <w:ind w:left="2.71999999999999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t xml:space="preserve">Heat 热传递
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当两个物体- 分别处于不同的温度-接触，一个能量流动就建立起来。从高温物体（高内部能量）到低温物体（低内部能量）直到达到平衡。在冻干工艺中，热有三种传递方式：传导（板层控温）、对流（真空度设置）、辐射（腔体的壁和门外热量对产品的热量传递）。
</w:t>
      </w:r>
    </w:p>
    <w:p>
      <w:pPr>
        <w:pStyle w:val="componentStyle"/>
        <w:ind w:left="2.7199999999999998cm" w:firstLine="0cm"/>
      </w:pPr>
    </w:p>
    <w:p>
      <w:pPr>
        <w:pStyle w:val="Heading3"/>
        <w:jc w:val="left"/>
      </w:pPr>
      <w:r>
        <w:t xml:space="preserve">States of aggregation of matter 物质聚集态
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物质可以以四种状态聚集：固体、液体、气体和其他（离子态、超固态、玻色–爱因斯坦凝聚）。
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4"/>
          <w:numId w:val="2"/>
        </w:numPr>
        <w:jc w:val="left"/>
      </w:pPr>
      <w:r/>
    </w:p>
    <w:p>
      <w:pPr>
        <w:pStyle w:val="componentStyle"/>
        <w:ind w:left="2.7199999999999998cm" w:firstLine="0cm"/>
      </w:pPr>
    </w:p>
    <w:p>
      <w:pPr>
        <w:pStyle w:val="componentStyle"/>
        <w:ind w:left="2.71999999999999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jc w:val="left"/>
      </w:pPr>
      <w:r>
        <w:t xml:space="preserve">trouble shooting</w:t>
      </w:r>
    </w:p>
    <w:p>
      <w:pPr>
        <w:pStyle w:val="componentStyle"/>
        <w:ind w:left="0.5cm" w:firstLine="0cm"/>
      </w:pPr>
    </w:p>
    <w:p>
      <w:pPr>
        <w:pStyle w:val="Heading2"/>
        <w:jc w:val="left"/>
      </w:pPr>
      <w:r>
        <w:t xml:space="preserve">冻干球的性状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根辅料的特性有关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如果是同种辅料，表现出来性状不同，那就是冻干品本身发生的变化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冻干球出箱时，在玻璃皿里残留了粉末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转移或者程序设定的温度高于了塌陷温度/玻璃化（两者就差几度）转化温度，产品形态必然产生塌陷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如果八联管原位冻干，预冻干温度4度0.5～1小时和-50度是为什么？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4度是为了大批量上机准备的，平衡前后进仓的样品本身的温度，确保前后进仓的产品在开始预冻程序时的温度条件是一致的。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为什么是4度，不是-4度或其他温度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从文献调研来的，没有拉梯度</w:t>
      </w:r>
    </w:p>
    <w:p>
      <w:pPr>
        <w:pStyle w:val="componentStyle"/>
        <w:ind w:left="2.7199999999999998cm" w:firstLine="0cm"/>
      </w:pPr>
    </w:p>
    <w:p>
      <w:pPr>
        <w:pStyle w:val="Heading2"/>
        <w:jc w:val="left"/>
      </w:pPr>
      <w:r>
        <w:t xml:space="preserve">如果程序结束的时间是晚上，半夜，如何调整？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可以把结束后设定一个保温温度，16度，设定到第二天上班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延长一次干燥的时间，确保可以程序结束时间到第二天上班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一次干燥（升温）和梯度升温哪种好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没有绝对的，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塌陷是什么原因？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1）在一次干燥或者二次干燥阶段，产品温度超过玻璃态转化温度或者塌陷温度，导致结构损失。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2）当储存温度接近产品干物质玻璃态转化温度的时候，也会在产品的存储阶段发生塌陷。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3）胶塞的高残余水分会迁移到产品导致塌陷。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解决方法：
1）降低一次干燥或者二次干燥产品温度；
2）延长升华时间，减少样品残余水量，从而提高产品干物质玻璃态转化温度；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图例1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t xml:space="preserve">图例2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t xml:space="preserve">回融是什么原因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1）一次升华不完全，一次升华结束阶段或者在二次干燥的开始阶段，产品里仍然还有残留的冰；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2）冻干机的板层或者不同板层之间有较大的温差，导致不同位置样品升华不同；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3）耗材的实际热传导效率不高，导致升华不够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解决方法：
延长一次干燥的时间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图例1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t xml:space="preserve">图例2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t xml:space="preserve">萎缩是什么原因？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样品体积缩小到只脱壁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由于产品的配方和瓶子的特性而累积的内应力的结果，当释放时引起收缩，少数产品萎缩有可能是塌陷的一个信号。 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需要后续进行稳定性测试以评价萎缩样品是否可接受 。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图例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t xml:space="preserve">开裂时什么原因？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原因：多数情况下，这是由于固体物质浓度过低，产品块的结构脆弱造成。 或者预冻速度过快形成冰晶过小导致。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解决方法；
1）可以减慢第二阶段干燥的速度来限制物质的损失；2）增加整体赋形剂的浓度来加强产品块的结构；           3）降低预冻速度形成较大冰晶。
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图例</w:t>
      </w:r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t xml:space="preserve">西林瓶原位冻干，样品载量如何设定？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样品装载量通常不高于西林瓶容量的一半，装量越高，复溶、冷冻干燥的难度越大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复溶后可能高于西林瓶的容量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西林瓶冻干球，样品载量如何设定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平铺，不建议层叠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如果非要层叠，加长一次升华的时间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如何测定确定处方的样品的关键温度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晶体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共晶点温度TE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共晶点探头</w:t>
      </w:r>
    </w:p>
    <w:p>
      <w:pPr>
        <w:pStyle w:val="componentStyle"/>
        <w:ind w:left="3.46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低温DSC</w:t>
      </w:r>
    </w:p>
    <w:p>
      <w:pPr>
        <w:pStyle w:val="componentStyle"/>
        <w:ind w:left="3.46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共融点温度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同上</w:t>
      </w:r>
    </w:p>
    <w:p>
      <w:pPr>
        <w:pStyle w:val="componentStyle"/>
        <w:ind w:left="3.46cm" w:firstLine="0cm"/>
      </w:pPr>
    </w:p>
    <w:p>
      <w:pPr>
        <w:pStyle w:val="Heading3"/>
        <w:jc w:val="left"/>
      </w:pPr>
      <w:r>
        <w:t xml:space="preserve">无定形物质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玻璃化转化温度Tg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低温DSC</w:t>
      </w:r>
    </w:p>
    <w:p>
      <w:pPr>
        <w:pStyle w:val="componentStyle"/>
        <w:ind w:left="3.46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冻干显微镜</w:t>
      </w:r>
    </w:p>
    <w:p>
      <w:pPr>
        <w:pStyle w:val="componentStyle"/>
        <w:ind w:left="3.46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塌陷温度Tc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5"/>
          <w:numId w:val="2"/>
        </w:numPr>
        <w:jc w:val="left"/>
      </w:pPr>
      <w:r>
        <w:t xml:space="preserve">同上</w:t>
      </w:r>
    </w:p>
    <w:p>
      <w:pPr>
        <w:pStyle w:val="componentStyle"/>
        <w:ind w:left="3.46cm" w:firstLine="0cm"/>
      </w:pPr>
    </w:p>
    <w:p>
      <w:pPr>
        <w:pStyle w:val="Heading3"/>
        <w:jc w:val="left"/>
      </w:pPr>
      <w:r>
        <w:t xml:space="preserve">通常Tg &lt;Tc，但相差不大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DSC功能</w:t>
      </w:r>
    </w:p>
    <w:p>
      <w:pPr>
        <w:pStyle w:val="componentStyle"/>
        <w:ind w:left="1.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看出样品是晶体还是无定形物质</w:t>
      </w:r>
    </w:p>
    <w:p>
      <w:pPr>
        <w:pStyle w:val="componentStyle"/>
        <w:ind w:left="2.7199999999999998cm" w:firstLine="0cm"/>
      </w:pPr>
    </w:p>
    <w:p>
      <w:pPr>
        <w:pStyle w:val="ListParagraph"/>
        <w:numPr>
          <w:ilvl w:val="4"/>
          <w:numId w:val="2"/>
        </w:numPr>
        <w:jc w:val="left"/>
      </w:pPr>
      <w:r>
        <w:t xml:space="preserve">如果为无定形物质，找Tg，找到初始融化温度</w:t>
      </w:r>
    </w:p>
    <w:p>
      <w:pPr>
        <w:pStyle w:val="componentStyle"/>
        <w:ind w:left="2.7199999999999998cm" w:firstLine="0cm"/>
      </w:pPr>
    </w:p>
    <w:p>
      <w:pPr>
        <w:pStyle w:val="Heading2"/>
        <w:jc w:val="left"/>
      </w:pPr>
      <w:r>
        <w:t xml:space="preserve">二次升华时间是否要很长？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建议3-24小时，但应该尽量短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二次升华一般使用板层允许的最高温度，压力降低到最低值，一般持续3-24小时。
每两段的过渡时间大约为1-2小时。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板层温度设置及时间设置如何优化？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>
        <w:t xml:space="preserve">预冻，比Tg温度低10-20度，时间为2-4小时</w:t>
      </w:r>
    </w:p>
    <w:p>
      <w:pPr>
        <w:pStyle w:val="componentStyle"/>
        <w:ind w:left="1.98cm" w:firstLine="0cm"/>
      </w:pPr>
    </w:p>
    <w:p>
      <w:pPr>
        <w:pStyle w:val="Heading3"/>
        <w:jc w:val="left"/>
      </w:pPr>
      <w:r>
        <w:t xml:space="preserve">一次升华</w:t>
      </w:r>
    </w:p>
    <w:p>
      <w:pPr>
        <w:pStyle w:val="componentStyle"/>
        <w:ind w:left="1.98cm" w:firstLine="0cm"/>
      </w:pPr>
    </w:p>
    <w:p>
      <w:pPr>
        <w:pStyle w:val="Heading2"/>
        <w:jc w:val="left"/>
      </w:pPr>
      <w:r>
        <w:t xml:space="preserve">冻干品如何评价好坏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/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t xml:space="preserve">冻干球冻干样品使用方法及扩增体系配制？</w:t>
      </w:r>
    </w:p>
    <w:p>
      <w:pPr>
        <w:pStyle w:val="componentStyle"/>
        <w:ind w:left="1.24cm" w:firstLine="0cm"/>
      </w:pPr>
    </w:p>
    <w:p>
      <w:pPr>
        <w:pStyle w:val="Heading3"/>
        <w:jc w:val="left"/>
      </w:pPr>
      <w:r/>
    </w:p>
    <w:p>
      <w:pPr>
        <w:pStyle w:val="componentStyle"/>
        <w:ind w:left="1.98cm" w:firstLine="0cm"/>
      </w:pPr>
    </w:p>
    <w:p>
      <w:pPr>
        <w:pStyle w:val="componentStyle"/>
        <w:ind w:left="1.98cm" w:firstLine="0cm"/>
      </w:pPr>
      <w:r>
        <w:drawing>
          <wp:inline distT="0" distB="0" distL="0" distR="0">
            <wp:extent cx="4762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4" w15:tentative="1">
      <w:start w:val="1"/>
      <w:numFmt w:val="bullet"/>
      <w:lvlText w:val="•"/>
      <w:lvlJc w:val="start"/>
      <w:pPr>
        <w:spacing w:lineRule="auto" w:line="360" w:before="320" w:after="0"/>
        <w:ind w:left="2.85cm" w:hanging="0.64cm"/>
      </w:pPr>
    </w:lvl>
    <w:lvl w:ilvl="5" w15:tentative="1">
      <w:start w:val="1"/>
      <w:numFmt w:val="bullet"/>
      <w:lvlText w:val="•"/>
      <w:lvlJc w:val="start"/>
      <w:pPr>
        <w:spacing w:lineRule="auto" w:line="360" w:before="320" w:after="0"/>
        <w:ind w:left="3.59cm" w:hanging="0.64cm"/>
      </w:pPr>
    </w:lvl>
    <w:lvl w:ilvl="6" w15:tentative="1">
      <w:start w:val="1"/>
      <w:numFmt w:val="bullet"/>
      <w:lvlText w:val="•"/>
      <w:lvlJc w:val="start"/>
      <w:pPr>
        <w:spacing w:lineRule="auto" w:line="360" w:before="320" w:after="0"/>
        <w:ind w:left="4.33cm" w:hanging="0.64cm"/>
      </w:pPr>
    </w:lvl>
    <w:lvl w:ilvl="7" w15:tentative="1">
      <w:start w:val="1"/>
      <w:numFmt w:val="bullet"/>
      <w:lvlText w:val="•"/>
      <w:lvlJc w:val="start"/>
      <w:pPr>
        <w:spacing w:lineRule="auto" w:line="360" w:before="320" w:after="0"/>
        <w:ind w:left="5.07cm" w:hanging="0.64cm"/>
      </w:pPr>
    </w:lvl>
    <w:lvl w:ilvl="8" w15:tentative="1">
      <w:start w:val="1"/>
      <w:numFmt w:val="bullet"/>
      <w:lvlText w:val="•"/>
      <w:lvlJc w:val="start"/>
      <w:pPr>
        <w:spacing w:lineRule="auto" w:line="360" w:before="320" w:after="0"/>
        <w:ind w:left="5.8100000000000005cm" w:hanging="0.64cm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spacing w:lineRule="auto" w:line="240" w:before="0" w:after="0"/>
        <w:ind w:left="0.40000000000000013cm" w:hanging="0.64cm"/>
      </w:pPr>
    </w:lvl>
    <w:lvl w:ilvl="1" w15:tentative="1">
      <w:start w:val="1"/>
      <w:numFmt w:val="bullet"/>
      <w:lvlText w:val="•"/>
      <w:lvlJc w:val="start"/>
      <w:pPr>
        <w:spacing w:lineRule="auto" w:line="240" w:before="0" w:after="0"/>
        <w:ind w:left="1.1400000000000001cm" w:hanging="0.64cm"/>
      </w:pPr>
    </w:lvl>
    <w:lvl w:ilvl="2" w15:tentative="1">
      <w:start w:val="1"/>
      <w:numFmt w:val="bullet"/>
      <w:lvlText w:val="•"/>
      <w:lvlJc w:val="start"/>
      <w:pPr>
        <w:spacing w:lineRule="auto" w:line="240" w:before="0" w:after="0"/>
        <w:ind w:left="1.8800000000000001cm" w:hanging="0.64cm"/>
      </w:pPr>
    </w:lvl>
    <w:lvl w:ilvl="3" w15:tentative="1">
      <w:start w:val="1"/>
      <w:numFmt w:val="bullet"/>
      <w:lvlText w:val="•"/>
      <w:lvlJc w:val="start"/>
      <w:pPr>
        <w:spacing w:lineRule="auto" w:line="240" w:before="0" w:after="0"/>
        <w:ind w:left="2.62cm" w:hanging="0.64cm"/>
      </w:pPr>
    </w:lvl>
    <w:lvl w:ilvl="4" w15:tentative="1">
      <w:start w:val="1"/>
      <w:numFmt w:val="bullet"/>
      <w:lvlText w:val="•"/>
      <w:lvlJc w:val="start"/>
      <w:pPr>
        <w:spacing w:lineRule="auto" w:line="240" w:before="0" w:after="0"/>
        <w:ind w:left="3.36cm" w:hanging="0.64cm"/>
      </w:pPr>
    </w:lvl>
    <w:lvl w:ilvl="5" w15:tentative="1">
      <w:start w:val="1"/>
      <w:numFmt w:val="bullet"/>
      <w:lvlText w:val="•"/>
      <w:lvlJc w:val="start"/>
      <w:pPr>
        <w:spacing w:lineRule="auto" w:line="240" w:before="0" w:after="0"/>
        <w:ind w:left="4.1cm" w:hanging="0.64cm"/>
      </w:pPr>
    </w:lvl>
    <w:lvl w:ilvl="6" w15:tentative="1">
      <w:start w:val="1"/>
      <w:numFmt w:val="bullet"/>
      <w:lvlText w:val="•"/>
      <w:lvlJc w:val="start"/>
      <w:pPr>
        <w:spacing w:lineRule="auto" w:line="240" w:before="0" w:after="0"/>
        <w:ind w:left="4.84cm" w:hanging="0.64cm"/>
      </w:pPr>
    </w:lvl>
    <w:lvl w:ilvl="7" w15:tentative="1">
      <w:start w:val="1"/>
      <w:numFmt w:val="bullet"/>
      <w:lvlText w:val="•"/>
      <w:lvlJc w:val="start"/>
      <w:pPr>
        <w:spacing w:lineRule="auto" w:line="240" w:before="0" w:after="0"/>
        <w:ind w:left="5.58cm" w:hanging="0.64cm"/>
      </w:pPr>
    </w:lvl>
    <w:lvl w:ilvl="8" w15:tentative="1">
      <w:start w:val="1"/>
      <w:numFmt w:val="bullet"/>
      <w:lvlText w:val="•"/>
      <w:lvlJc w:val="start"/>
      <w:pPr>
        <w:spacing w:lineRule="auto" w:line="240" w:before="0" w:after="0"/>
        <w:ind w:left="6.32cm" w:hanging="0.64cm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10pt"/>
        <w:szCs w:val="10pt"/>
      </w:rPr>
    </w:rPrDefault>
    <w:pPrDefault>
      <w:pPr>
        <w:spacing w:lineRule="auto" w:line="240" w:before="0" w:after="0"/>
      </w:pPr>
    </w:pPrDefault>
  </w:docDefaults>
  <w:style w:type="paragraph" w:styleId="Title">
    <w:name w:val="Title"/>
    <w:basedOn w:val="Normal"/>
    <w:next w:val="Normal"/>
    <w:qFormat/>
    <w:pPr>
      <w:spacing w:lineRule="auto" w:line="360" w:before="120" w:after="120"/>
      <w:jc w:val="center"/>
    </w:pPr>
    <w:rPr>
      <w:b/>
      <w:bCs/>
      <w:color w:val="000000"/>
      <w:sz w:val="22pt"/>
      <w:szCs w:val="22pt"/>
    </w:rPr>
  </w:style>
  <w:style w:type="paragraph" w:styleId="Heading1">
    <w:name w:val="Heading 1"/>
    <w:basedOn w:val="Normal"/>
    <w:next w:val="Normal"/>
    <w:qFormat/>
    <w:pPr>
      <w:spacing w:lineRule="auto" w:line="360" w:before="240" w:after="0"/>
    </w:pPr>
    <w:rPr>
      <w:b/>
      <w:bCs/>
      <w:color w:val="000000"/>
      <w:sz w:val="16pt"/>
      <w:szCs w:val="16pt"/>
    </w:rPr>
  </w:style>
  <w:style w:type="paragraph" w:styleId="Heading2">
    <w:name w:val="Heading 2"/>
    <w:basedOn w:val="Normal"/>
    <w:next w:val="Normal"/>
    <w:qFormat/>
    <w:pPr>
      <w:spacing w:lineRule="auto" w:line="360" w:before="240" w:after="0"/>
      <w:ind w:left="0.74cm"/>
    </w:pPr>
    <w:rPr>
      <w:color w:val="000000"/>
      <w:sz w:val="16pt"/>
      <w:szCs w:val="16pt"/>
    </w:rPr>
  </w:style>
  <w:style w:type="paragraph" w:styleId="Heading3">
    <w:name w:val="Heading 3"/>
    <w:basedOn w:val="Normal"/>
    <w:next w:val="Normal"/>
    <w:qFormat/>
    <w:pPr>
      <w:spacing w:lineRule="auto" w:line="360" w:before="240" w:after="0"/>
      <w:ind w:left="1.47cm"/>
    </w:pPr>
    <w:rPr>
      <w:color w:val="000000"/>
      <w:sz w:val="14pt"/>
      <w:szCs w:val="14pt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  <w:rPr>
      <w:color w:val="000000"/>
      <w:sz w:val="14pt"/>
      <w:szCs w:val="14pt"/>
    </w:rPr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componentStyle">
    <w:name w:val="Notes"/>
    <w:basedOn w:val="Normal"/>
    <w:next w:val="Normal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63hkx6ngcrn9mite7yrnp.png"/><Relationship Id="rId7" Type="http://schemas.openxmlformats.org/officeDocument/2006/relationships/image" Target="media/yyiph7qdkf123innbjxkv.png"/><Relationship Id="rId8" Type="http://schemas.openxmlformats.org/officeDocument/2006/relationships/image" Target="media/j8gixt8evslon5rh7qcrf.png"/><Relationship Id="rId9" Type="http://schemas.openxmlformats.org/officeDocument/2006/relationships/image" Target="media/yfd1u1bffxvdvei6pdsmt.png"/><Relationship Id="rId10" Type="http://schemas.openxmlformats.org/officeDocument/2006/relationships/image" Target="media/cbip9782p0r2mvplolb9x.png"/><Relationship Id="rId11" Type="http://schemas.openxmlformats.org/officeDocument/2006/relationships/image" Target="media/irvlnugdzwtp4xd2mlyyu.png"/><Relationship Id="rId12" Type="http://schemas.openxmlformats.org/officeDocument/2006/relationships/image" Target="media/htjjchccb1ybqjyzsxi9x.png"/><Relationship Id="rId13" Type="http://schemas.openxmlformats.org/officeDocument/2006/relationships/image" Target="media/do8cuh35wpnw0mx_xx4nt.png"/><Relationship Id="rId14" Type="http://schemas.openxmlformats.org/officeDocument/2006/relationships/image" Target="media/tummftewuflrkxewymffc.png"/><Relationship Id="rId15" Type="http://schemas.openxmlformats.org/officeDocument/2006/relationships/image" Target="media/qhsv_rixpqpdzkcc1cmgk.png"/><Relationship Id="rId16" Type="http://schemas.openxmlformats.org/officeDocument/2006/relationships/image" Target="media/7xetd4gbrdnyzkuqkqo1d.png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2026-09-09T03:38:10.529Z</dcterms:created>
  <dcterms:modified xsi:type="dcterms:W3CDTF">2026-09-09T03:38:10.529Z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